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415AA2" w:rsidRDefault="00FE61EF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Jaunā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Pasaule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radās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2005.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gada</w:t>
      </w:r>
      <w:bookmarkStart w:id="1" w:name="gjdgxs" w:colFirst="0" w:colLast="0"/>
      <w:bookmarkEnd w:id="1"/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11.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martā</w:t>
      </w:r>
      <w:proofErr w:type="spellEnd"/>
    </w:p>
    <w:p w:rsidR="00415AA2" w:rsidRDefault="00FE61EF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ieskauj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jau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tūkstošiem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kopš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mūžības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rašanās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)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Ikviena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sēkla</w:t>
      </w:r>
      <w:bookmarkStart w:id="2" w:name="30j0zll" w:colFirst="0" w:colLast="0"/>
      <w:bookmarkEnd w:id="2"/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sēta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piemērotos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apstākļos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attīstās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saskaņā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Likumu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dodot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dzīvību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brīnišķīgam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kokam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radot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gardus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augļus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Nekas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nespēj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pretoties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Gaismai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izgaismo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Pasauli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radot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Harmoniju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spēj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atspoguļot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izmantojot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zināšanas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 xml:space="preserve"> par </w:t>
      </w:r>
      <w:proofErr w:type="spellStart"/>
      <w:r>
        <w:rPr>
          <w:rFonts w:ascii="Arial" w:eastAsia="Arial" w:hAnsi="Arial" w:cs="Arial"/>
          <w:b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b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Pati</w:t>
      </w:r>
      <w:r>
        <w:rPr>
          <w:rFonts w:ascii="Arial" w:eastAsia="Arial" w:hAnsi="Arial" w:cs="Arial"/>
          <w:i/>
          <w:sz w:val="20"/>
          <w:szCs w:val="20"/>
        </w:rPr>
        <w:t>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var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atrasta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mūsu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ceļā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sasniedzama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atsakoties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mūsu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katra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nepilnībām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mūsu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dvēselēs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satur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atdarinājumu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Spēcīgs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viņš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stāvēt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trokšņu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upes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vidū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sadzirdēt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Tas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nozīmē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viņš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sludina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Garīgo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Enerģiju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avotu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3" w:name="1fob9te" w:colFirst="0" w:colLast="0"/>
      <w:bookmarkEnd w:id="3"/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T</w:t>
      </w:r>
      <w:r>
        <w:rPr>
          <w:rFonts w:ascii="Arial" w:eastAsia="Arial" w:hAnsi="Arial" w:cs="Arial"/>
          <w:i/>
          <w:sz w:val="20"/>
          <w:szCs w:val="20"/>
        </w:rPr>
        <w:t>aisnības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tiesātājs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Būtne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Pazemībā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Cik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saldi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mielot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maniem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augļiem</w:t>
      </w:r>
      <w:bookmarkStart w:id="4" w:name="3znysh7" w:colFirst="0" w:colLast="0"/>
      <w:bookmarkEnd w:id="4"/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, </w:t>
      </w:r>
      <w:r>
        <w:rPr>
          <w:rFonts w:ascii="Arial" w:eastAsia="Arial" w:hAnsi="Arial" w:cs="Arial"/>
          <w:i/>
          <w:sz w:val="20"/>
          <w:szCs w:val="20"/>
        </w:rPr>
        <w:t xml:space="preserve">bet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saldāka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man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šķiet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tava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izgaršot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šos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augļus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kurā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mājo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tava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Enerģija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, </w:t>
      </w:r>
      <w:r>
        <w:rPr>
          <w:rFonts w:ascii="Arial" w:eastAsia="Arial" w:hAnsi="Arial" w:cs="Arial"/>
          <w:i/>
          <w:sz w:val="20"/>
          <w:szCs w:val="20"/>
        </w:rPr>
        <w:t xml:space="preserve">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varē</w:t>
      </w:r>
      <w:r>
        <w:rPr>
          <w:rFonts w:ascii="Arial" w:eastAsia="Arial" w:hAnsi="Arial" w:cs="Arial"/>
          <w:i/>
          <w:sz w:val="20"/>
          <w:szCs w:val="20"/>
        </w:rPr>
        <w:t>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izpaust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Cerība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veids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kādā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parādās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Ga</w:t>
      </w:r>
      <w:bookmarkStart w:id="5" w:name="2et92p0" w:colFirst="0" w:colLast="0"/>
      <w:bookmarkEnd w:id="5"/>
      <w:r>
        <w:rPr>
          <w:rFonts w:ascii="Arial" w:eastAsia="Arial" w:hAnsi="Arial" w:cs="Arial"/>
          <w:i/>
          <w:sz w:val="20"/>
          <w:szCs w:val="20"/>
        </w:rPr>
        <w:t xml:space="preserve">rs,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pauž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dvēselei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alksmi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dzīvot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Neticami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vienkāršais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princips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balstītas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Zināšanas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pārveidos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šād</w:t>
      </w:r>
      <w:bookmarkStart w:id="6" w:name="tyjcwt" w:colFirst="0" w:colLast="0"/>
      <w:bookmarkEnd w:id="6"/>
      <w:r>
        <w:rPr>
          <w:rFonts w:ascii="Arial" w:eastAsia="Arial" w:hAnsi="Arial" w:cs="Arial"/>
          <w:i/>
          <w:sz w:val="20"/>
          <w:szCs w:val="20"/>
        </w:rPr>
        <w:t>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7" w:name="3dy6vkm" w:colFirst="0" w:colLast="0"/>
      <w:bookmarkEnd w:id="7"/>
      <w:r>
        <w:rPr>
          <w:rFonts w:ascii="Arial" w:eastAsia="Arial" w:hAnsi="Arial" w:cs="Arial"/>
          <w:i/>
          <w:color w:val="000000"/>
          <w:sz w:val="20"/>
          <w:szCs w:val="20"/>
        </w:rPr>
        <w:t>“</w:t>
      </w:r>
      <w:r>
        <w:rPr>
          <w:rFonts w:ascii="Arial" w:eastAsia="Arial" w:hAnsi="Arial" w:cs="Arial"/>
          <w:i/>
          <w:sz w:val="20"/>
          <w:szCs w:val="20"/>
        </w:rPr>
        <w:t xml:space="preserve">Tas, ko es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sajūtu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Dvēselē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, 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nu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Meli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arī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neesmu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par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Pārliecināts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.</w:t>
      </w:r>
    </w:p>
    <w:p w:rsidR="00415AA2" w:rsidRDefault="00FE61E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Es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varu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Pieņemt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Noliegt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to, ko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jūtu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.”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Šis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princips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atbrīvos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Cilvēcību</w:t>
      </w:r>
      <w:bookmarkStart w:id="8" w:name="1t3h5sf" w:colFirst="0" w:colLast="0"/>
      <w:bookmarkEnd w:id="8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jo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satur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radusies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Neviens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stūrītis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nav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pamests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novārtā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jo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princips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attiecas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arī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Esamību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Drīz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daudzi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vēlāk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apjautīs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Principu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Koks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nemanot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līdz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izaug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arī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augļi</w:t>
      </w:r>
      <w:bookmarkStart w:id="9" w:name="4d34og8" w:colFirst="0" w:colLast="0"/>
      <w:bookmarkEnd w:id="9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ūdens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kalniem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aizplūst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jūru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Gluži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tāpat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Kungs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dod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skolēnam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baro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dodot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dāvanu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Gaisma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pārlauž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ķēdes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vīrs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izk</w:t>
      </w:r>
      <w:r>
        <w:rPr>
          <w:rFonts w:ascii="Arial" w:eastAsia="Arial" w:hAnsi="Arial" w:cs="Arial"/>
          <w:i/>
          <w:sz w:val="20"/>
          <w:szCs w:val="20"/>
        </w:rPr>
        <w:t>ļūst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labirinta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atklājot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Mūžīgo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Dzīvi</w:t>
      </w:r>
      <w:bookmarkStart w:id="10" w:name="2s8eyo1" w:colFirst="0" w:colLast="0"/>
      <w:bookmarkEnd w:id="10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Gars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atklāj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ziedus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Padevības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Harmonijas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apvienībā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Neviens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nekļūst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dižens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cenšoties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atkārtot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diženā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ceļu</w:t>
      </w:r>
      <w:bookmarkStart w:id="11" w:name="17dp8vu" w:colFirst="0" w:colLast="0"/>
      <w:bookmarkStart w:id="12" w:name="3rdcrjn" w:colFirst="0" w:colLast="0"/>
      <w:bookmarkEnd w:id="11"/>
      <w:bookmarkEnd w:id="12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jo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mazāk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atkārtojot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sacīto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bet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gan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dodoties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ceļā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lielu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pazemību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ieklausoties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sevī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Vārdi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nav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bookmarkStart w:id="13" w:name="26in1rg" w:colFirst="0" w:colLast="0"/>
      <w:bookmarkEnd w:id="13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Esamības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sludināšana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Tie,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sludina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vārdi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sludina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augļi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var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eksistēt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bez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koka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mērķis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sasniedzams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neveicot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ceļu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to.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Vīra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satur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sēklas</w:t>
      </w:r>
      <w:bookmarkStart w:id="14" w:name="lnxbz9" w:colFirst="0" w:colLast="0"/>
      <w:bookmarkEnd w:id="14"/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atklāj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caur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pazemību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veido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numPr>
          <w:ilvl w:val="0"/>
          <w:numId w:val="1"/>
        </w:numPr>
        <w:spacing w:before="280"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Glāzei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pirms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pārplūšanas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jābūt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piepildītai</w:t>
      </w:r>
      <w:bookmarkStart w:id="15" w:name="35nkun2" w:colFirst="0" w:colLast="0"/>
      <w:bookmarkEnd w:id="15"/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Cālis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tic, ka visa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atrodama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olā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kamēr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izslej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galvu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olas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čaulas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Tas,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kurš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iekrīt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bedrē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vienmēr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spējīgs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pats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izkļūt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Ikviena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vīra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iedalāma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stadijās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iespējams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mācīties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pret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aiz</w:t>
      </w:r>
      <w:r>
        <w:rPr>
          <w:rFonts w:ascii="Arial" w:eastAsia="Arial" w:hAnsi="Arial" w:cs="Arial"/>
          <w:i/>
          <w:sz w:val="20"/>
          <w:szCs w:val="20"/>
        </w:rPr>
        <w:t>ved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līdz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Altruismam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jo tie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abi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sevī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ietver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iezīmes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tikusi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klāstīta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jau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tūkstošiem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pirms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zināms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ir.</w:t>
      </w:r>
      <w:proofErr w:type="spellEnd"/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Tūkstošiem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Meli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tikuši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attēloti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Skaidrība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novedīs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pie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, u</w:t>
      </w:r>
      <w:r>
        <w:rPr>
          <w:rFonts w:ascii="Arial" w:eastAsia="Arial" w:hAnsi="Arial" w:cs="Arial"/>
          <w:i/>
          <w:sz w:val="20"/>
          <w:szCs w:val="20"/>
        </w:rPr>
        <w:t xml:space="preserve">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sasniegta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atdalot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Viltus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Atdalot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Viltus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atbrīvota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bezgalīgā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enerģija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Daudzi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jauc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iztēli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Zināšanām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Ikviens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vīrs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pateicoties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var pats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izšķirt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Viltus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sasniedzot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Absolūto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Taisno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Skaid</w:t>
      </w:r>
      <w:r>
        <w:rPr>
          <w:rFonts w:ascii="Arial" w:eastAsia="Arial" w:hAnsi="Arial" w:cs="Arial"/>
          <w:i/>
          <w:sz w:val="20"/>
          <w:szCs w:val="20"/>
        </w:rPr>
        <w:t>rību</w:t>
      </w:r>
      <w:proofErr w:type="spellEnd"/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Visu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problēmu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risināšanas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atslēga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slēpjās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atdalīt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Viltus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un to, par ko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mēs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esam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Nedroši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Pretrunas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kavējušas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cilvēci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Daudzi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meklē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izmantojot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sacīto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un nav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droši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par to,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mājo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; mums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vienkārši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jāmeklē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pareizā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veidā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Daudzi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runājuši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Dieva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vārdā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bet nav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apzinājušies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lastRenderedPageBreak/>
        <w:t xml:space="preserve">Gars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izpauž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formās</w:t>
      </w:r>
      <w:bookmarkStart w:id="16" w:name="1ksv4uv" w:colFirst="0" w:colLast="0"/>
      <w:bookmarkEnd w:id="16"/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Rīki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ko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sasniegt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apzināties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Vēlme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Pazemība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Tūkstošiem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cilvēce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centusies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atrast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bet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nav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redzējusi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tie,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dodas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pareizo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ceļu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sasniegs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pareizo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galamērķi</w:t>
      </w:r>
      <w:proofErr w:type="spellEnd"/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Kāpēc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pastāv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desmit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Baušļi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?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Pastāv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divu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veidu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Pienākumi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iekšējie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ārējie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starp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diviem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bezdibenis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Cieņa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Noteiktība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…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tie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pozitīvi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faktori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?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Atšķirība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starp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Taisnīgumu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Atriebību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Jaunās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proti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tie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Tiesiskums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?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Pazemībā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parādās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caur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dvēseli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kad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vienkārša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lipīga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Nekas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nespēj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piesa</w:t>
      </w:r>
      <w:r>
        <w:rPr>
          <w:rFonts w:ascii="Arial" w:eastAsia="Arial" w:hAnsi="Arial" w:cs="Arial"/>
          <w:i/>
          <w:sz w:val="20"/>
          <w:szCs w:val="20"/>
        </w:rPr>
        <w:t>istīt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vairāk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Gaisma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Brīvā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Griba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Kur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rodas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nedrošība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tiek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novērsta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Pele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labirintā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pierāda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neapšaubāmu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inteliģences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esamību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Atzarošana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visbūtiskākajiem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pieejamajiem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instrumentiem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Vīrs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meklējot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Harmoniju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savien</w:t>
      </w:r>
      <w:r>
        <w:rPr>
          <w:rFonts w:ascii="Arial" w:eastAsia="Arial" w:hAnsi="Arial" w:cs="Arial"/>
          <w:i/>
          <w:sz w:val="20"/>
          <w:szCs w:val="20"/>
        </w:rPr>
        <w:t>ojoties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Cilvēcīgumu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radījuši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bērni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kas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uzskatīja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par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vīriem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Atšķirība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starp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Ilūziju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Cerību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slēpjas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mazās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lietās</w:t>
      </w:r>
      <w:proofErr w:type="spellEnd"/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Tumsa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radīta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caur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iekļūtu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Elle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eksistē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vieta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kurā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cilvēcība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sevi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atrod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pierāda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z w:val="20"/>
          <w:szCs w:val="20"/>
        </w:rPr>
        <w:t>omēr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to var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uzvarēt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Vīrs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apjucis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nobijies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bērns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dzīvojot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bailēs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jeb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ellē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Gaidot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atpestīšanu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atbrīvot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Vīrs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izmanto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dažādus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vārdus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pateiktu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to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vieni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tie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vārdi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var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nozīmēt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dažādas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lietas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Drīz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eksistēs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saskaņā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Visuma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pamatojoties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Gara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Likumu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Patiesību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nevar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iemācīties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to var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izdzīvot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FE61EF">
      <w:pPr>
        <w:numPr>
          <w:ilvl w:val="0"/>
          <w:numId w:val="1"/>
        </w:numPr>
        <w:spacing w:after="280" w:line="240" w:lineRule="auto"/>
      </w:pPr>
      <w:proofErr w:type="spellStart"/>
      <w:r>
        <w:rPr>
          <w:rFonts w:ascii="Arial" w:eastAsia="Arial" w:hAnsi="Arial" w:cs="Arial"/>
          <w:i/>
          <w:sz w:val="20"/>
          <w:szCs w:val="20"/>
        </w:rPr>
        <w:t>Precīzs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Jaunās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Pasaules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sākuma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datums: 2005.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11. marts,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plkst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7.15.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Patiesība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Viltus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sākuši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atdalīties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noteiktā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veidā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uz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mūžiem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Beidzot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aktīvs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Cilvēce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vairs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nevar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aizgriezties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jo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patiesās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Gaismas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2005.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gada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4.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augustā</w:t>
      </w:r>
      <w:proofErr w:type="spellEnd"/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Vito</w:t>
      </w:r>
    </w:p>
    <w:p w:rsidR="00415AA2" w:rsidRDefault="00415AA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+393405180205</w:t>
      </w:r>
    </w:p>
    <w:p w:rsidR="00415AA2" w:rsidRDefault="00FE61EF">
      <w:pPr>
        <w:spacing w:after="0" w:line="240" w:lineRule="auto"/>
      </w:pPr>
      <w:r>
        <w:rPr>
          <w:rFonts w:ascii="Arial" w:eastAsia="Arial" w:hAnsi="Arial" w:cs="Arial"/>
          <w:i/>
          <w:sz w:val="20"/>
          <w:szCs w:val="20"/>
        </w:rPr>
        <w:t xml:space="preserve">e-pasts: </w:t>
      </w:r>
      <w:hyperlink r:id="rId5">
        <w:r>
          <w:rPr>
            <w:rFonts w:ascii="Arial" w:eastAsia="Arial" w:hAnsi="Arial" w:cs="Arial"/>
            <w:i/>
            <w:color w:val="0000FF"/>
            <w:sz w:val="20"/>
            <w:szCs w:val="20"/>
            <w:u w:val="single"/>
          </w:rPr>
          <w:t>vito@rustici.com</w:t>
        </w:r>
      </w:hyperlink>
    </w:p>
    <w:p w:rsidR="00415AA2" w:rsidRDefault="00FE61EF">
      <w:pPr>
        <w:spacing w:after="0" w:line="240" w:lineRule="auto"/>
      </w:pPr>
      <w:hyperlink r:id="rId6">
        <w:r>
          <w:rPr>
            <w:color w:val="0000FF"/>
            <w:u w:val="single"/>
          </w:rPr>
          <w:t>www.rustici.com/the_new_world.zip</w:t>
        </w:r>
      </w:hyperlink>
      <w:r>
        <w:tab/>
        <w:t>(</w:t>
      </w:r>
      <w:proofErr w:type="spellStart"/>
      <w:r>
        <w:t>angļu</w:t>
      </w:r>
      <w:proofErr w:type="spellEnd"/>
      <w:r>
        <w:t xml:space="preserve"> </w:t>
      </w:r>
      <w:proofErr w:type="spellStart"/>
      <w:r>
        <w:t>valodā</w:t>
      </w:r>
      <w:proofErr w:type="spellEnd"/>
      <w:r>
        <w:t xml:space="preserve"> – </w:t>
      </w:r>
      <w:proofErr w:type="spellStart"/>
      <w:r>
        <w:t>lejupielādēt</w:t>
      </w:r>
      <w:proofErr w:type="spellEnd"/>
      <w:r>
        <w:t>)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hyperlink r:id="rId7">
        <w:r>
          <w:rPr>
            <w:color w:val="0000FF"/>
            <w:u w:val="single"/>
          </w:rPr>
          <w:t>www.rustici.com/il_nuovo_mondo.zip</w:t>
        </w:r>
      </w:hyperlink>
      <w:r>
        <w:t xml:space="preserve"> </w:t>
      </w:r>
      <w:r>
        <w:tab/>
        <w:t>(</w:t>
      </w:r>
      <w:proofErr w:type="spellStart"/>
      <w:r>
        <w:t>itāļu</w:t>
      </w:r>
      <w:proofErr w:type="spellEnd"/>
      <w:r>
        <w:t xml:space="preserve"> </w:t>
      </w:r>
      <w:proofErr w:type="spellStart"/>
      <w:r>
        <w:t>valodā</w:t>
      </w:r>
      <w:proofErr w:type="spellEnd"/>
      <w:r>
        <w:t xml:space="preserve"> – </w:t>
      </w:r>
      <w:proofErr w:type="spellStart"/>
      <w:r>
        <w:t>lejupielādēt</w:t>
      </w:r>
      <w:proofErr w:type="spellEnd"/>
      <w:r>
        <w:t>)</w:t>
      </w:r>
    </w:p>
    <w:p w:rsidR="00415AA2" w:rsidRDefault="00FE61E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sz w:val="20"/>
          <w:szCs w:val="20"/>
        </w:rPr>
        <w:t>Ja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jums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ir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mīļotie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vēlaties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novēlēt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ko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labu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parādiet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viņiem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šo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rakstu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Viņu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dvēsele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pati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laika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gaitā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paveiks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pārējo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Dažkārt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tikai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mirklīgs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putekļu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mākonis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spēj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nobloķēt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brīnišķu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mehānismu</w:t>
      </w:r>
      <w:proofErr w:type="spellEnd"/>
      <w:r>
        <w:rPr>
          <w:rFonts w:ascii="Arial" w:eastAsia="Arial" w:hAnsi="Arial" w:cs="Arial"/>
          <w:i/>
          <w:sz w:val="20"/>
          <w:szCs w:val="20"/>
        </w:rPr>
        <w:t>.</w:t>
      </w:r>
      <w:bookmarkStart w:id="17" w:name="44sinio" w:colFirst="0" w:colLast="0"/>
      <w:bookmarkEnd w:id="17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Atbrīvojieties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tā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un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mehānisms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atkal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sāks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strādāt</w:t>
      </w:r>
      <w:proofErr w:type="spellEnd"/>
      <w:r>
        <w:rPr>
          <w:rFonts w:ascii="Arial" w:eastAsia="Arial" w:hAnsi="Arial" w:cs="Arial"/>
          <w:i/>
          <w:sz w:val="20"/>
          <w:szCs w:val="20"/>
        </w:rPr>
        <w:t>!</w:t>
      </w:r>
    </w:p>
    <w:p w:rsidR="00415AA2" w:rsidRDefault="00415AA2"/>
    <w:sectPr w:rsidR="00415AA2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561"/>
    <w:multiLevelType w:val="multilevel"/>
    <w:tmpl w:val="F83CD1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A2"/>
    <w:rsid w:val="00415AA2"/>
    <w:rsid w:val="00F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BD5B8-095B-4ECE-A5A1-AED977AC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tulo2">
    <w:name w:val="heading 2"/>
    <w:basedOn w:val="Normal"/>
    <w:next w:val="Normal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tulo3">
    <w:name w:val="heading 3"/>
    <w:basedOn w:val="Normal"/>
    <w:next w:val="Normal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bigbuy</dc:creator>
  <cp:lastModifiedBy>A4B2 A4B2</cp:lastModifiedBy>
  <cp:revision>2</cp:revision>
  <dcterms:created xsi:type="dcterms:W3CDTF">2018-07-23T10:04:00Z</dcterms:created>
  <dcterms:modified xsi:type="dcterms:W3CDTF">2018-07-23T10:04:00Z</dcterms:modified>
</cp:coreProperties>
</file>